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16" w:rsidRPr="00173C16" w:rsidRDefault="00173C16" w:rsidP="00173C16">
      <w:pPr>
        <w:spacing w:after="0" w:line="240" w:lineRule="auto"/>
        <w:jc w:val="center"/>
        <w:rPr>
          <w:rFonts w:ascii="Arial" w:hAnsi="Arial"/>
          <w:sz w:val="24"/>
          <w:szCs w:val="24"/>
          <w:lang w:eastAsia="ru-RU"/>
        </w:rPr>
      </w:pPr>
      <w:r w:rsidRPr="00173C16">
        <w:rPr>
          <w:rFonts w:ascii="Arial" w:hAnsi="Arial"/>
          <w:noProof/>
          <w:sz w:val="24"/>
          <w:szCs w:val="24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C16" w:rsidRPr="00173C16" w:rsidRDefault="00173C16" w:rsidP="00173C16">
      <w:pPr>
        <w:spacing w:after="0" w:line="240" w:lineRule="auto"/>
        <w:jc w:val="center"/>
        <w:rPr>
          <w:rFonts w:ascii="Arial" w:hAnsi="Arial"/>
          <w:b/>
          <w:sz w:val="40"/>
          <w:szCs w:val="40"/>
          <w:lang w:eastAsia="ru-RU"/>
        </w:rPr>
      </w:pPr>
      <w:r w:rsidRPr="00173C16">
        <w:rPr>
          <w:rFonts w:ascii="Arial" w:hAnsi="Arial"/>
          <w:b/>
          <w:sz w:val="40"/>
          <w:szCs w:val="40"/>
          <w:lang w:eastAsia="ru-RU"/>
        </w:rPr>
        <w:t>СОВЕТ ДЕПУТАТОВ</w:t>
      </w:r>
    </w:p>
    <w:p w:rsidR="00173C16" w:rsidRPr="00173C16" w:rsidRDefault="00173C16" w:rsidP="00173C16">
      <w:pPr>
        <w:spacing w:after="0" w:line="240" w:lineRule="auto"/>
        <w:jc w:val="center"/>
        <w:rPr>
          <w:rFonts w:ascii="Arial" w:hAnsi="Arial"/>
          <w:sz w:val="28"/>
          <w:szCs w:val="28"/>
          <w:lang w:eastAsia="ru-RU"/>
        </w:rPr>
      </w:pPr>
      <w:r w:rsidRPr="00173C16">
        <w:rPr>
          <w:rFonts w:ascii="Arial" w:hAnsi="Arial"/>
          <w:sz w:val="28"/>
          <w:szCs w:val="28"/>
          <w:lang w:eastAsia="ru-RU"/>
        </w:rPr>
        <w:t>ТАЛДОМСКОГО ГОРОДСКОГО ОКРУГА МОСКОВСКОЙ ОБЛАСТИ</w:t>
      </w:r>
    </w:p>
    <w:p w:rsidR="00173C16" w:rsidRPr="00173C16" w:rsidRDefault="00173C16" w:rsidP="00173C16">
      <w:pPr>
        <w:spacing w:after="0" w:line="220" w:lineRule="exact"/>
        <w:jc w:val="right"/>
        <w:rPr>
          <w:rFonts w:ascii="Arial" w:hAnsi="Arial"/>
          <w:sz w:val="18"/>
          <w:szCs w:val="18"/>
          <w:lang w:eastAsia="ru-RU"/>
        </w:rPr>
      </w:pPr>
      <w:r w:rsidRPr="00173C16">
        <w:rPr>
          <w:rFonts w:ascii="Sylfaen" w:eastAsia="Sylfaen" w:hAnsi="Sylfaen" w:cs="Sylfaen"/>
          <w:sz w:val="18"/>
          <w:szCs w:val="18"/>
          <w:lang w:eastAsia="ru-RU"/>
        </w:rPr>
        <w:t xml:space="preserve">141900, г. Талдом, пл. К. Маркса, 12                                                          </w:t>
      </w:r>
      <w:r w:rsidRPr="00173C16">
        <w:rPr>
          <w:rFonts w:ascii="Arial" w:hAnsi="Arial"/>
          <w:sz w:val="18"/>
          <w:szCs w:val="18"/>
          <w:lang w:eastAsia="ru-RU"/>
        </w:rPr>
        <w:t>тел. 8-(</w:t>
      </w:r>
      <w:proofErr w:type="gramStart"/>
      <w:r w:rsidRPr="00173C16">
        <w:rPr>
          <w:rFonts w:ascii="Arial" w:hAnsi="Arial"/>
          <w:sz w:val="18"/>
          <w:szCs w:val="18"/>
          <w:lang w:eastAsia="ru-RU"/>
        </w:rPr>
        <w:t>49620)-</w:t>
      </w:r>
      <w:proofErr w:type="gramEnd"/>
      <w:r w:rsidRPr="00173C16">
        <w:rPr>
          <w:rFonts w:ascii="Arial" w:hAnsi="Arial"/>
          <w:sz w:val="18"/>
          <w:szCs w:val="18"/>
          <w:lang w:eastAsia="ru-RU"/>
        </w:rPr>
        <w:t xml:space="preserve">6-35-61; т/ф 8-(49620)-3-33-29 </w:t>
      </w:r>
    </w:p>
    <w:p w:rsidR="00173C16" w:rsidRPr="00173C16" w:rsidRDefault="00173C16" w:rsidP="00173C16">
      <w:pPr>
        <w:pBdr>
          <w:bottom w:val="single" w:sz="12" w:space="1" w:color="auto"/>
        </w:pBdr>
        <w:spacing w:after="0" w:line="230" w:lineRule="exact"/>
        <w:jc w:val="right"/>
        <w:rPr>
          <w:rFonts w:ascii="Arial" w:eastAsia="Sylfaen" w:hAnsi="Arial"/>
          <w:sz w:val="18"/>
          <w:szCs w:val="18"/>
          <w:shd w:val="clear" w:color="auto" w:fill="FFFFFF"/>
          <w:lang w:eastAsia="ru-RU" w:bidi="en-US"/>
        </w:rPr>
      </w:pPr>
      <w:r w:rsidRPr="00173C16">
        <w:rPr>
          <w:rFonts w:ascii="Arial" w:eastAsia="Sylfaen" w:hAnsi="Arial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173C16" w:rsidRPr="00173C16" w:rsidRDefault="00173C16" w:rsidP="00173C16">
      <w:pPr>
        <w:spacing w:after="0" w:line="240" w:lineRule="auto"/>
        <w:jc w:val="center"/>
        <w:rPr>
          <w:rFonts w:ascii="Arial" w:hAnsi="Arial"/>
          <w:b/>
          <w:sz w:val="36"/>
          <w:szCs w:val="36"/>
          <w:lang w:eastAsia="ru-RU"/>
        </w:rPr>
      </w:pPr>
      <w:r w:rsidRPr="00173C16">
        <w:rPr>
          <w:rFonts w:ascii="Arial" w:hAnsi="Arial"/>
          <w:b/>
          <w:sz w:val="36"/>
          <w:szCs w:val="36"/>
          <w:lang w:eastAsia="ru-RU"/>
        </w:rPr>
        <w:t>Р Е Ш Е Н И Е</w:t>
      </w:r>
    </w:p>
    <w:p w:rsidR="00173C16" w:rsidRPr="00173C16" w:rsidRDefault="00173C16" w:rsidP="00173C16">
      <w:pPr>
        <w:spacing w:after="0" w:line="240" w:lineRule="auto"/>
        <w:ind w:firstLine="426"/>
        <w:jc w:val="right"/>
        <w:rPr>
          <w:rFonts w:ascii="Arial" w:hAnsi="Arial"/>
          <w:sz w:val="28"/>
          <w:szCs w:val="28"/>
          <w:lang w:eastAsia="ru-RU"/>
        </w:rPr>
      </w:pPr>
    </w:p>
    <w:p w:rsidR="00173C16" w:rsidRPr="00173C16" w:rsidRDefault="00173C16" w:rsidP="00173C16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u w:val="single"/>
          <w:lang w:eastAsia="ru-RU"/>
        </w:rPr>
      </w:pPr>
      <w:r w:rsidRPr="00173C16">
        <w:rPr>
          <w:rFonts w:ascii="Arial" w:hAnsi="Arial"/>
          <w:b/>
          <w:sz w:val="28"/>
          <w:szCs w:val="28"/>
          <w:lang w:eastAsia="ru-RU"/>
        </w:rPr>
        <w:t>от __</w:t>
      </w:r>
      <w:r w:rsidRPr="00173C16">
        <w:rPr>
          <w:rFonts w:ascii="Arial" w:hAnsi="Arial" w:cs="Arial"/>
          <w:b/>
          <w:sz w:val="28"/>
          <w:szCs w:val="28"/>
          <w:u w:val="single"/>
          <w:lang w:eastAsia="ru-RU"/>
        </w:rPr>
        <w:t>27 октября</w:t>
      </w:r>
      <w:r w:rsidRPr="00173C16">
        <w:rPr>
          <w:rFonts w:ascii="Arial" w:hAnsi="Arial"/>
          <w:b/>
          <w:sz w:val="28"/>
          <w:szCs w:val="28"/>
          <w:lang w:eastAsia="ru-RU"/>
        </w:rPr>
        <w:t>___</w:t>
      </w:r>
      <w:proofErr w:type="gramStart"/>
      <w:r w:rsidRPr="00173C16">
        <w:rPr>
          <w:rFonts w:ascii="Arial" w:hAnsi="Arial"/>
          <w:b/>
          <w:sz w:val="28"/>
          <w:szCs w:val="28"/>
          <w:lang w:eastAsia="ru-RU"/>
        </w:rPr>
        <w:t>_  2022</w:t>
      </w:r>
      <w:proofErr w:type="gramEnd"/>
      <w:r w:rsidRPr="00173C16">
        <w:rPr>
          <w:rFonts w:ascii="Arial" w:hAnsi="Arial"/>
          <w:b/>
          <w:sz w:val="28"/>
          <w:szCs w:val="28"/>
          <w:lang w:eastAsia="ru-RU"/>
        </w:rPr>
        <w:t xml:space="preserve"> г.                                                           №  </w:t>
      </w:r>
      <w:r w:rsidRPr="00173C16">
        <w:rPr>
          <w:rFonts w:ascii="Arial" w:hAnsi="Arial"/>
          <w:b/>
          <w:sz w:val="28"/>
          <w:szCs w:val="28"/>
          <w:u w:val="single"/>
          <w:lang w:eastAsia="ru-RU"/>
        </w:rPr>
        <w:t>7</w:t>
      </w:r>
      <w:r>
        <w:rPr>
          <w:rFonts w:ascii="Arial" w:hAnsi="Arial"/>
          <w:b/>
          <w:sz w:val="28"/>
          <w:szCs w:val="28"/>
          <w:u w:val="single"/>
          <w:lang w:eastAsia="ru-RU"/>
        </w:rPr>
        <w:t>9</w:t>
      </w:r>
    </w:p>
    <w:p w:rsidR="00173C16" w:rsidRPr="00173C16" w:rsidRDefault="00173C16" w:rsidP="00173C16">
      <w:pPr>
        <w:spacing w:after="0" w:line="240" w:lineRule="auto"/>
        <w:ind w:firstLine="426"/>
        <w:rPr>
          <w:rFonts w:ascii="Arial" w:hAnsi="Arial"/>
          <w:sz w:val="24"/>
          <w:szCs w:val="24"/>
          <w:lang w:eastAsia="ru-RU"/>
        </w:rPr>
      </w:pPr>
      <w:r w:rsidRPr="00173C16">
        <w:rPr>
          <w:rFonts w:ascii="Arial" w:hAnsi="Arial"/>
          <w:sz w:val="24"/>
          <w:szCs w:val="24"/>
          <w:lang w:eastAsia="ru-RU"/>
        </w:rPr>
        <w:t xml:space="preserve">       </w:t>
      </w:r>
    </w:p>
    <w:p w:rsidR="00173C16" w:rsidRPr="00173C16" w:rsidRDefault="00173C16" w:rsidP="00173C16">
      <w:pPr>
        <w:spacing w:after="0" w:line="240" w:lineRule="auto"/>
        <w:jc w:val="both"/>
        <w:rPr>
          <w:rFonts w:ascii="Arial" w:hAnsi="Arial"/>
          <w:b/>
          <w:sz w:val="28"/>
          <w:szCs w:val="28"/>
          <w:u w:val="single"/>
          <w:lang w:eastAsia="ru-RU"/>
        </w:rPr>
      </w:pPr>
      <w:r w:rsidRPr="00173C16">
        <w:rPr>
          <w:rFonts w:ascii="Arial" w:hAnsi="Arial"/>
          <w:sz w:val="24"/>
          <w:szCs w:val="24"/>
          <w:lang w:eastAsia="ru-RU"/>
        </w:rPr>
        <w:t>┌                                                              ┐</w:t>
      </w:r>
    </w:p>
    <w:p w:rsidR="00DD5FFC" w:rsidRPr="007009BA" w:rsidRDefault="00DD5FFC" w:rsidP="00DD5FFC">
      <w:pPr>
        <w:spacing w:after="0"/>
        <w:rPr>
          <w:rFonts w:ascii="Times New Roman" w:hAnsi="Times New Roman"/>
          <w:b/>
          <w:sz w:val="24"/>
          <w:szCs w:val="24"/>
        </w:rPr>
      </w:pPr>
      <w:r w:rsidRPr="007009BA">
        <w:rPr>
          <w:rFonts w:ascii="Times New Roman" w:hAnsi="Times New Roman"/>
          <w:b/>
          <w:sz w:val="24"/>
          <w:szCs w:val="24"/>
        </w:rPr>
        <w:t xml:space="preserve">О внесении изменений и </w:t>
      </w:r>
      <w:r w:rsidR="00173C16" w:rsidRPr="007009BA">
        <w:rPr>
          <w:rFonts w:ascii="Times New Roman" w:hAnsi="Times New Roman"/>
          <w:b/>
          <w:sz w:val="24"/>
          <w:szCs w:val="24"/>
        </w:rPr>
        <w:t>дополнений в</w:t>
      </w:r>
      <w:r w:rsidRPr="007009BA">
        <w:rPr>
          <w:rFonts w:ascii="Times New Roman" w:hAnsi="Times New Roman"/>
          <w:b/>
          <w:sz w:val="24"/>
          <w:szCs w:val="24"/>
        </w:rPr>
        <w:t xml:space="preserve"> решение</w:t>
      </w:r>
    </w:p>
    <w:p w:rsidR="00DD5FFC" w:rsidRPr="007009BA" w:rsidRDefault="00DD5FFC" w:rsidP="00DD5FFC">
      <w:pPr>
        <w:spacing w:after="0"/>
        <w:rPr>
          <w:rFonts w:ascii="Times New Roman" w:hAnsi="Times New Roman"/>
          <w:b/>
          <w:sz w:val="24"/>
          <w:szCs w:val="24"/>
        </w:rPr>
      </w:pPr>
      <w:r w:rsidRPr="007009BA">
        <w:rPr>
          <w:rFonts w:ascii="Times New Roman" w:hAnsi="Times New Roman"/>
          <w:b/>
          <w:sz w:val="24"/>
          <w:szCs w:val="24"/>
        </w:rPr>
        <w:t xml:space="preserve">Совета депутатов Талдомского городского округа </w:t>
      </w:r>
    </w:p>
    <w:p w:rsidR="00DD5FFC" w:rsidRPr="007009BA" w:rsidRDefault="00DD5FFC" w:rsidP="00DD5FFC">
      <w:pPr>
        <w:spacing w:after="0"/>
        <w:rPr>
          <w:rFonts w:ascii="Times New Roman" w:hAnsi="Times New Roman"/>
          <w:b/>
          <w:sz w:val="24"/>
          <w:szCs w:val="24"/>
        </w:rPr>
      </w:pPr>
      <w:r w:rsidRPr="007009BA">
        <w:rPr>
          <w:rFonts w:ascii="Times New Roman" w:hAnsi="Times New Roman"/>
          <w:b/>
          <w:sz w:val="24"/>
          <w:szCs w:val="24"/>
        </w:rPr>
        <w:t xml:space="preserve">Московской области </w:t>
      </w:r>
      <w:r w:rsidR="0046229E" w:rsidRPr="007009BA">
        <w:rPr>
          <w:rFonts w:ascii="Times New Roman" w:hAnsi="Times New Roman"/>
          <w:b/>
          <w:sz w:val="24"/>
          <w:szCs w:val="24"/>
        </w:rPr>
        <w:t>№ 72 от 25.11.2021</w:t>
      </w:r>
      <w:r w:rsidRPr="007009BA">
        <w:rPr>
          <w:rFonts w:ascii="Times New Roman" w:hAnsi="Times New Roman"/>
          <w:b/>
          <w:sz w:val="24"/>
          <w:szCs w:val="24"/>
        </w:rPr>
        <w:t xml:space="preserve"> года </w:t>
      </w:r>
    </w:p>
    <w:p w:rsidR="00DD5FFC" w:rsidRPr="007009BA" w:rsidRDefault="00DD5FFC" w:rsidP="00DD5FFC">
      <w:pPr>
        <w:spacing w:after="0"/>
        <w:rPr>
          <w:rFonts w:ascii="Times New Roman" w:hAnsi="Times New Roman"/>
          <w:b/>
          <w:sz w:val="24"/>
          <w:szCs w:val="24"/>
        </w:rPr>
      </w:pPr>
      <w:r w:rsidRPr="007009BA">
        <w:rPr>
          <w:rFonts w:ascii="Times New Roman" w:hAnsi="Times New Roman"/>
          <w:b/>
          <w:sz w:val="24"/>
          <w:szCs w:val="24"/>
        </w:rPr>
        <w:t>«О земельном налоге»</w:t>
      </w:r>
    </w:p>
    <w:p w:rsidR="00DD5FFC" w:rsidRPr="00B125F6" w:rsidRDefault="00DD5FFC" w:rsidP="00DD5FFC">
      <w:pPr>
        <w:spacing w:after="0"/>
        <w:rPr>
          <w:rFonts w:ascii="Times New Roman" w:hAnsi="Times New Roman"/>
          <w:sz w:val="24"/>
          <w:szCs w:val="24"/>
        </w:rPr>
      </w:pPr>
    </w:p>
    <w:p w:rsidR="00DD5FFC" w:rsidRDefault="00DD5FFC" w:rsidP="007009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125F6">
        <w:rPr>
          <w:rFonts w:ascii="Times New Roman" w:hAnsi="Times New Roman"/>
          <w:sz w:val="24"/>
          <w:szCs w:val="24"/>
        </w:rPr>
        <w:tab/>
        <w:t>В соответствии с Бюджетным кодексом</w:t>
      </w:r>
      <w:r>
        <w:rPr>
          <w:rFonts w:ascii="Times New Roman" w:hAnsi="Times New Roman"/>
          <w:sz w:val="24"/>
          <w:szCs w:val="24"/>
        </w:rPr>
        <w:t xml:space="preserve"> РФ</w:t>
      </w:r>
      <w:r w:rsidRPr="00B125F6">
        <w:rPr>
          <w:rFonts w:ascii="Times New Roman" w:hAnsi="Times New Roman"/>
          <w:sz w:val="24"/>
          <w:szCs w:val="24"/>
        </w:rPr>
        <w:t>, главой 31 Налогового кодекса Российской Федерации</w:t>
      </w:r>
      <w:r>
        <w:rPr>
          <w:rFonts w:ascii="Times New Roman" w:hAnsi="Times New Roman"/>
          <w:sz w:val="24"/>
          <w:szCs w:val="24"/>
        </w:rPr>
        <w:t xml:space="preserve">, Федеральным законом от 06.10.2003 года №  131-ФЗ «Об общих принципах организации местного самоуправления в Российской Федерации», Законом Московской области от 28.05.2018 года № 70/2018-ОЗ «Об организации местного самоуправления на территории Талдомского муниципального района», </w:t>
      </w:r>
      <w:r w:rsidR="0094103A">
        <w:rPr>
          <w:rFonts w:ascii="Times New Roman" w:hAnsi="Times New Roman"/>
          <w:sz w:val="24"/>
          <w:szCs w:val="24"/>
        </w:rPr>
        <w:t xml:space="preserve">Уставом Талдомского городского округа Московской области, зарегистрированным Управлением Министерства юстиции РФ по Московской области 24.12.2018 года </w:t>
      </w:r>
      <w:r w:rsidR="007009BA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94103A">
        <w:rPr>
          <w:rFonts w:ascii="Times New Roman" w:hAnsi="Times New Roman"/>
          <w:sz w:val="24"/>
          <w:szCs w:val="24"/>
        </w:rPr>
        <w:t xml:space="preserve">№ </w:t>
      </w:r>
      <w:r w:rsidR="0094103A">
        <w:rPr>
          <w:rFonts w:ascii="Times New Roman" w:hAnsi="Times New Roman"/>
          <w:sz w:val="24"/>
          <w:szCs w:val="24"/>
          <w:lang w:val="en-US"/>
        </w:rPr>
        <w:t>RU</w:t>
      </w:r>
      <w:r w:rsidR="0094103A" w:rsidRPr="0094103A">
        <w:rPr>
          <w:rFonts w:ascii="Times New Roman" w:hAnsi="Times New Roman"/>
          <w:sz w:val="24"/>
          <w:szCs w:val="24"/>
        </w:rPr>
        <w:t>503650002018001</w:t>
      </w:r>
      <w:r w:rsidR="0094103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Совет депутатов Талдомского городского округа Московской области</w:t>
      </w:r>
    </w:p>
    <w:p w:rsidR="00DD5FFC" w:rsidRPr="007009BA" w:rsidRDefault="00DD5FFC" w:rsidP="00DD5F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009BA">
        <w:rPr>
          <w:rFonts w:ascii="Times New Roman" w:hAnsi="Times New Roman"/>
          <w:b/>
          <w:sz w:val="24"/>
          <w:szCs w:val="24"/>
        </w:rPr>
        <w:t>РЕШИЛ:</w:t>
      </w:r>
    </w:p>
    <w:p w:rsidR="00DD5FFC" w:rsidRDefault="00DD5FFC" w:rsidP="00DD5FF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D5FFC" w:rsidRPr="005C0C42" w:rsidRDefault="00DD5FFC" w:rsidP="00DD5F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C0C42">
        <w:rPr>
          <w:rFonts w:ascii="Times New Roman" w:hAnsi="Times New Roman"/>
          <w:sz w:val="24"/>
          <w:szCs w:val="24"/>
        </w:rPr>
        <w:t>1. Внести в Решение Совета депутатов Талдомского городского округа Московской области</w:t>
      </w:r>
      <w:r w:rsidR="0046229E" w:rsidRPr="005C0C42">
        <w:rPr>
          <w:rFonts w:ascii="Times New Roman" w:hAnsi="Times New Roman"/>
          <w:sz w:val="24"/>
          <w:szCs w:val="24"/>
        </w:rPr>
        <w:t xml:space="preserve"> от 25.11.2021 года № 72</w:t>
      </w:r>
      <w:r w:rsidRPr="005C0C42">
        <w:rPr>
          <w:rFonts w:ascii="Times New Roman" w:hAnsi="Times New Roman"/>
          <w:sz w:val="24"/>
          <w:szCs w:val="24"/>
        </w:rPr>
        <w:t xml:space="preserve"> «О земельном налоге» следующие изменения и дополнения:</w:t>
      </w:r>
    </w:p>
    <w:p w:rsidR="00DD5FFC" w:rsidRPr="005C0C42" w:rsidRDefault="0046229E" w:rsidP="00DD5F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C0C42">
        <w:rPr>
          <w:rFonts w:ascii="Times New Roman" w:hAnsi="Times New Roman"/>
          <w:sz w:val="24"/>
          <w:szCs w:val="24"/>
        </w:rPr>
        <w:t>1.1.</w:t>
      </w:r>
      <w:r w:rsidR="00D718C3" w:rsidRPr="005C0C42">
        <w:rPr>
          <w:rFonts w:ascii="Times New Roman" w:hAnsi="Times New Roman"/>
          <w:sz w:val="24"/>
          <w:szCs w:val="24"/>
        </w:rPr>
        <w:t xml:space="preserve"> Пункт 4</w:t>
      </w:r>
      <w:r w:rsidR="00971FB8" w:rsidRPr="005C0C42">
        <w:rPr>
          <w:rFonts w:ascii="Times New Roman" w:hAnsi="Times New Roman"/>
          <w:sz w:val="24"/>
          <w:szCs w:val="24"/>
        </w:rPr>
        <w:t>.4 дополнить подпунктом</w:t>
      </w:r>
      <w:r w:rsidRPr="005C0C42">
        <w:rPr>
          <w:rFonts w:ascii="Times New Roman" w:hAnsi="Times New Roman"/>
          <w:sz w:val="24"/>
          <w:szCs w:val="24"/>
        </w:rPr>
        <w:t xml:space="preserve"> 4</w:t>
      </w:r>
      <w:r w:rsidR="00DD5FFC" w:rsidRPr="005C0C42">
        <w:rPr>
          <w:rFonts w:ascii="Times New Roman" w:hAnsi="Times New Roman"/>
          <w:sz w:val="24"/>
          <w:szCs w:val="24"/>
        </w:rPr>
        <w:t>.</w:t>
      </w:r>
      <w:r w:rsidR="00971FB8" w:rsidRPr="005C0C42">
        <w:rPr>
          <w:rFonts w:ascii="Times New Roman" w:hAnsi="Times New Roman"/>
          <w:sz w:val="24"/>
          <w:szCs w:val="24"/>
        </w:rPr>
        <w:t>4.5</w:t>
      </w:r>
      <w:r w:rsidR="00BC43B4" w:rsidRPr="005C0C42">
        <w:rPr>
          <w:rFonts w:ascii="Times New Roman" w:hAnsi="Times New Roman"/>
          <w:sz w:val="24"/>
          <w:szCs w:val="24"/>
        </w:rPr>
        <w:t>.</w:t>
      </w:r>
    </w:p>
    <w:p w:rsidR="00694255" w:rsidRPr="005C0C42" w:rsidRDefault="0046229E" w:rsidP="0069425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0C42">
        <w:rPr>
          <w:rFonts w:ascii="Times New Roman" w:hAnsi="Times New Roman" w:cs="Times New Roman"/>
          <w:sz w:val="24"/>
          <w:szCs w:val="24"/>
        </w:rPr>
        <w:t>«4</w:t>
      </w:r>
      <w:r w:rsidR="00DD5FFC" w:rsidRPr="005C0C42">
        <w:rPr>
          <w:rFonts w:ascii="Times New Roman" w:hAnsi="Times New Roman" w:cs="Times New Roman"/>
          <w:sz w:val="24"/>
          <w:szCs w:val="24"/>
        </w:rPr>
        <w:t>.</w:t>
      </w:r>
      <w:r w:rsidR="00971FB8" w:rsidRPr="005C0C42">
        <w:rPr>
          <w:rFonts w:ascii="Times New Roman" w:hAnsi="Times New Roman" w:cs="Times New Roman"/>
          <w:sz w:val="24"/>
          <w:szCs w:val="24"/>
        </w:rPr>
        <w:t>4.5</w:t>
      </w:r>
      <w:r w:rsidR="00BC43B4" w:rsidRPr="005C0C42">
        <w:rPr>
          <w:rFonts w:ascii="Times New Roman" w:hAnsi="Times New Roman" w:cs="Times New Roman"/>
          <w:sz w:val="24"/>
          <w:szCs w:val="24"/>
        </w:rPr>
        <w:t>.</w:t>
      </w:r>
      <w:r w:rsidR="00971FB8" w:rsidRPr="005C0C42">
        <w:rPr>
          <w:rFonts w:ascii="Times New Roman" w:hAnsi="Times New Roman" w:cs="Times New Roman"/>
          <w:sz w:val="24"/>
          <w:szCs w:val="24"/>
        </w:rPr>
        <w:t xml:space="preserve"> организации-инвесторы, осуществившие</w:t>
      </w:r>
      <w:r w:rsidR="004A1604" w:rsidRPr="005C0C42">
        <w:rPr>
          <w:rFonts w:ascii="Times New Roman" w:hAnsi="Times New Roman" w:cs="Times New Roman"/>
          <w:sz w:val="24"/>
          <w:szCs w:val="24"/>
        </w:rPr>
        <w:t xml:space="preserve"> капитальные вло</w:t>
      </w:r>
      <w:r w:rsidR="00656753" w:rsidRPr="005C0C42">
        <w:rPr>
          <w:rFonts w:ascii="Times New Roman" w:hAnsi="Times New Roman" w:cs="Times New Roman"/>
          <w:sz w:val="24"/>
          <w:szCs w:val="24"/>
        </w:rPr>
        <w:t xml:space="preserve">жения в объекты </w:t>
      </w:r>
      <w:r w:rsidR="00862AC1" w:rsidRPr="005C0C42">
        <w:rPr>
          <w:rFonts w:ascii="Times New Roman" w:hAnsi="Times New Roman" w:cs="Times New Roman"/>
          <w:sz w:val="24"/>
          <w:szCs w:val="24"/>
        </w:rPr>
        <w:t>основных средств</w:t>
      </w:r>
      <w:r w:rsidR="004A1604" w:rsidRPr="005C0C42">
        <w:rPr>
          <w:rFonts w:ascii="Times New Roman" w:hAnsi="Times New Roman" w:cs="Times New Roman"/>
          <w:sz w:val="24"/>
          <w:szCs w:val="24"/>
        </w:rPr>
        <w:t xml:space="preserve">, </w:t>
      </w:r>
      <w:r w:rsidR="00971FB8" w:rsidRPr="005C0C42">
        <w:rPr>
          <w:rFonts w:ascii="Times New Roman" w:hAnsi="Times New Roman" w:cs="Times New Roman"/>
          <w:sz w:val="24"/>
          <w:szCs w:val="24"/>
        </w:rPr>
        <w:t>в отношении земельных участков, на которых</w:t>
      </w:r>
      <w:r w:rsidR="00694255" w:rsidRPr="005C0C42">
        <w:rPr>
          <w:rFonts w:ascii="Times New Roman" w:hAnsi="Times New Roman" w:cs="Times New Roman"/>
          <w:sz w:val="24"/>
          <w:szCs w:val="24"/>
        </w:rPr>
        <w:t xml:space="preserve"> ра</w:t>
      </w:r>
      <w:r w:rsidR="00656753" w:rsidRPr="005C0C42">
        <w:rPr>
          <w:rFonts w:ascii="Times New Roman" w:hAnsi="Times New Roman" w:cs="Times New Roman"/>
          <w:sz w:val="24"/>
          <w:szCs w:val="24"/>
        </w:rPr>
        <w:t xml:space="preserve">сположен объект </w:t>
      </w:r>
      <w:r w:rsidR="00862AC1" w:rsidRPr="005C0C42">
        <w:rPr>
          <w:rFonts w:ascii="Times New Roman" w:hAnsi="Times New Roman" w:cs="Times New Roman"/>
          <w:sz w:val="24"/>
          <w:szCs w:val="24"/>
        </w:rPr>
        <w:t>основных средств</w:t>
      </w:r>
      <w:r w:rsidR="00694255" w:rsidRPr="005C0C42">
        <w:rPr>
          <w:rFonts w:ascii="Times New Roman" w:hAnsi="Times New Roman" w:cs="Times New Roman"/>
          <w:sz w:val="24"/>
          <w:szCs w:val="24"/>
        </w:rPr>
        <w:t xml:space="preserve"> стоимостью не менее пятидесяти миллионов рублей, который впервые введен в эксплуатацию и принят на бухгалтерский учет.</w:t>
      </w:r>
    </w:p>
    <w:p w:rsidR="00C25E24" w:rsidRPr="005C0C42" w:rsidRDefault="00694255" w:rsidP="0069425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>Инв</w:t>
      </w:r>
      <w:r w:rsidR="00C25E24" w:rsidRPr="005C0C42">
        <w:rPr>
          <w:rFonts w:ascii="Times New Roman" w:eastAsia="Times New Roman" w:hAnsi="Times New Roman"/>
          <w:sz w:val="24"/>
          <w:szCs w:val="24"/>
          <w:lang w:eastAsia="ru-RU"/>
        </w:rPr>
        <w:t>естором в целях настоящего пункта признается юридическое лицо</w:t>
      </w:r>
      <w:r w:rsidR="00862AC1" w:rsidRPr="005C0C42">
        <w:rPr>
          <w:rFonts w:ascii="Times New Roman" w:eastAsia="Times New Roman" w:hAnsi="Times New Roman"/>
          <w:sz w:val="24"/>
          <w:szCs w:val="24"/>
          <w:lang w:eastAsia="ru-RU"/>
        </w:rPr>
        <w:t>, осуществившее капитальные вложения на территории Талдомского городского округа</w:t>
      </w:r>
      <w:r w:rsidR="00C25E24" w:rsidRPr="005C0C42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94255" w:rsidRPr="005C0C42" w:rsidRDefault="00C25E24" w:rsidP="0069425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94255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в новое строит</w:t>
      </w:r>
      <w:r w:rsidR="00656753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ельство объекта </w:t>
      </w:r>
      <w:r w:rsidR="00862AC1" w:rsidRPr="005C0C42">
        <w:rPr>
          <w:rFonts w:ascii="Times New Roman" w:eastAsia="Times New Roman" w:hAnsi="Times New Roman"/>
          <w:sz w:val="24"/>
          <w:szCs w:val="24"/>
          <w:lang w:eastAsia="ru-RU"/>
        </w:rPr>
        <w:t>основных средств</w:t>
      </w:r>
      <w:r w:rsidR="001F03B5" w:rsidRPr="005C0C4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94255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стоимостью не менее пятидесяти миллионов рублей, которы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>й впервые введен в эксплуатацию;</w:t>
      </w:r>
    </w:p>
    <w:p w:rsidR="00C25E24" w:rsidRPr="005C0C42" w:rsidRDefault="00C25E24" w:rsidP="0069425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>- осуществившее капитальные вложения стоимостью не менее пятидесяти миллионов рублей в новое строительство административно-делового центра и (или) помещений, являющихся частью одного административно-делового центра;</w:t>
      </w:r>
    </w:p>
    <w:p w:rsidR="00C25E24" w:rsidRPr="005C0C42" w:rsidRDefault="00C25E24" w:rsidP="0069425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целях настоящего пункта:</w:t>
      </w:r>
    </w:p>
    <w:p w:rsidR="00C25E24" w:rsidRPr="005C0C42" w:rsidRDefault="00C25E24" w:rsidP="0069425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>1) под административно-деловым центром понимается нежилое здание, сооружение, вновь построенное и впервые введенное в эксплуатации, право собственности на которое зарегистрировано п</w:t>
      </w:r>
      <w:r w:rsidR="00656753" w:rsidRPr="005C0C42">
        <w:rPr>
          <w:rFonts w:ascii="Times New Roman" w:eastAsia="Times New Roman" w:hAnsi="Times New Roman"/>
          <w:sz w:val="24"/>
          <w:szCs w:val="24"/>
          <w:lang w:eastAsia="ru-RU"/>
        </w:rPr>
        <w:t>осле 1 января 2022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которое соответствует требованиям пункта 3 статьи 378.2 Налогового кодекса Российской Федерации;</w:t>
      </w:r>
    </w:p>
    <w:p w:rsidR="00C25E24" w:rsidRPr="005C0C42" w:rsidRDefault="00C25E24" w:rsidP="0069425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>2) под помещениями, являющимися частью одного административно-делового центра, понимается одна или несколько частей административно делового цент</w:t>
      </w:r>
      <w:r w:rsidR="000C307D" w:rsidRPr="005C0C42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>а, вновь построенного и впервые введенно</w:t>
      </w:r>
      <w:r w:rsidR="000C307D" w:rsidRPr="005C0C42">
        <w:rPr>
          <w:rFonts w:ascii="Times New Roman" w:eastAsia="Times New Roman" w:hAnsi="Times New Roman"/>
          <w:sz w:val="24"/>
          <w:szCs w:val="24"/>
          <w:lang w:eastAsia="ru-RU"/>
        </w:rPr>
        <w:t>го в эксплуатацию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>, право собственности на которое заре</w:t>
      </w:r>
      <w:r w:rsidR="00114961" w:rsidRPr="005C0C42">
        <w:rPr>
          <w:rFonts w:ascii="Times New Roman" w:eastAsia="Times New Roman" w:hAnsi="Times New Roman"/>
          <w:sz w:val="24"/>
          <w:szCs w:val="24"/>
          <w:lang w:eastAsia="ru-RU"/>
        </w:rPr>
        <w:t>гистрировано после 1 января 2022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который соответствует требованиям пункта 3 статьи 378.2 Налогового кодекса Российской Федерации.</w:t>
      </w:r>
    </w:p>
    <w:p w:rsidR="00694255" w:rsidRPr="007009BA" w:rsidRDefault="00114961" w:rsidP="0069425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 </w:t>
      </w:r>
      <w:r w:rsidR="00862AC1" w:rsidRPr="005C0C42">
        <w:rPr>
          <w:rFonts w:ascii="Times New Roman" w:eastAsia="Times New Roman" w:hAnsi="Times New Roman"/>
          <w:sz w:val="24"/>
          <w:szCs w:val="24"/>
          <w:lang w:eastAsia="ru-RU"/>
        </w:rPr>
        <w:t>основных средств</w:t>
      </w:r>
      <w:r w:rsidR="00694255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стоимостью не менее пятидесяти миллионов рублей, который </w:t>
      </w:r>
      <w:r w:rsidR="00694255" w:rsidRPr="007009BA">
        <w:rPr>
          <w:rFonts w:ascii="Times New Roman" w:eastAsia="Times New Roman" w:hAnsi="Times New Roman"/>
          <w:sz w:val="24"/>
          <w:szCs w:val="24"/>
          <w:lang w:eastAsia="ru-RU"/>
        </w:rPr>
        <w:t xml:space="preserve">впервые введен в эксплуатацию </w:t>
      </w:r>
      <w:r w:rsidRPr="007009BA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Объект </w:t>
      </w:r>
      <w:r w:rsidR="00862AC1" w:rsidRPr="007009BA">
        <w:rPr>
          <w:rFonts w:ascii="Times New Roman" w:eastAsia="Times New Roman" w:hAnsi="Times New Roman"/>
          <w:sz w:val="24"/>
          <w:szCs w:val="24"/>
          <w:lang w:eastAsia="ru-RU"/>
        </w:rPr>
        <w:t>основных средств</w:t>
      </w:r>
      <w:r w:rsidR="00694255" w:rsidRPr="007009BA">
        <w:rPr>
          <w:rFonts w:ascii="Times New Roman" w:eastAsia="Times New Roman" w:hAnsi="Times New Roman"/>
          <w:sz w:val="24"/>
          <w:szCs w:val="24"/>
          <w:lang w:eastAsia="ru-RU"/>
        </w:rPr>
        <w:t xml:space="preserve">), определяется в соответствии с Общероссийским </w:t>
      </w:r>
      <w:hyperlink r:id="rId5" w:history="1">
        <w:r w:rsidR="00694255" w:rsidRPr="007009BA">
          <w:rPr>
            <w:rFonts w:ascii="Times New Roman" w:eastAsia="Times New Roman" w:hAnsi="Times New Roman"/>
            <w:sz w:val="24"/>
            <w:szCs w:val="24"/>
            <w:lang w:eastAsia="ru-RU"/>
          </w:rPr>
          <w:t>классификатором</w:t>
        </w:r>
      </w:hyperlink>
      <w:r w:rsidR="00694255" w:rsidRPr="007009BA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основных фондов ОК 013-2014 (СНС 2008) (далее - ОКОФ):</w:t>
      </w:r>
    </w:p>
    <w:p w:rsidR="00694255" w:rsidRPr="007009BA" w:rsidRDefault="00694255" w:rsidP="00694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111"/>
        <w:gridCol w:w="3969"/>
      </w:tblGrid>
      <w:tr w:rsidR="007009BA" w:rsidRPr="007009BA" w:rsidTr="00BB2484">
        <w:tc>
          <w:tcPr>
            <w:tcW w:w="771" w:type="dxa"/>
          </w:tcPr>
          <w:p w:rsidR="00694255" w:rsidRPr="007009BA" w:rsidRDefault="00694255" w:rsidP="00694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111" w:type="dxa"/>
          </w:tcPr>
          <w:p w:rsidR="00694255" w:rsidRPr="007009BA" w:rsidRDefault="00694255" w:rsidP="00694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группировки ОКОФ</w:t>
            </w:r>
          </w:p>
        </w:tc>
        <w:tc>
          <w:tcPr>
            <w:tcW w:w="3969" w:type="dxa"/>
          </w:tcPr>
          <w:p w:rsidR="00694255" w:rsidRPr="007009BA" w:rsidRDefault="00694255" w:rsidP="00694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вида основных фондов ОКОФ</w:t>
            </w:r>
          </w:p>
        </w:tc>
      </w:tr>
      <w:tr w:rsidR="007009BA" w:rsidRPr="007009BA" w:rsidTr="00BB2484">
        <w:trPr>
          <w:trHeight w:val="226"/>
        </w:trPr>
        <w:tc>
          <w:tcPr>
            <w:tcW w:w="771" w:type="dxa"/>
          </w:tcPr>
          <w:p w:rsidR="00694255" w:rsidRPr="007009BA" w:rsidRDefault="00694255" w:rsidP="00694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694255" w:rsidRPr="007009BA" w:rsidRDefault="00694255" w:rsidP="00694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</w:tcPr>
          <w:p w:rsidR="00694255" w:rsidRPr="007009BA" w:rsidRDefault="00694255" w:rsidP="00694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7009BA" w:rsidRPr="007009BA" w:rsidTr="00BB2484">
        <w:tc>
          <w:tcPr>
            <w:tcW w:w="771" w:type="dxa"/>
          </w:tcPr>
          <w:p w:rsidR="00694255" w:rsidRPr="007009BA" w:rsidRDefault="00694255" w:rsidP="00694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:rsidR="00694255" w:rsidRPr="007009BA" w:rsidRDefault="00694255" w:rsidP="00694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Здания (кроме жилых)</w:t>
            </w:r>
          </w:p>
        </w:tc>
        <w:tc>
          <w:tcPr>
            <w:tcW w:w="3969" w:type="dxa"/>
          </w:tcPr>
          <w:p w:rsidR="00694255" w:rsidRPr="007009BA" w:rsidRDefault="00173C16" w:rsidP="00694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694255" w:rsidRPr="007009B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210.00.00.00.000</w:t>
              </w:r>
            </w:hyperlink>
          </w:p>
        </w:tc>
      </w:tr>
      <w:tr w:rsidR="00694255" w:rsidRPr="007009BA" w:rsidTr="00BB2484">
        <w:tc>
          <w:tcPr>
            <w:tcW w:w="771" w:type="dxa"/>
          </w:tcPr>
          <w:p w:rsidR="00694255" w:rsidRPr="007009BA" w:rsidRDefault="00694255" w:rsidP="00694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:rsidR="00694255" w:rsidRPr="007009BA" w:rsidRDefault="00694255" w:rsidP="00694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0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Сооружения</w:t>
            </w:r>
          </w:p>
        </w:tc>
        <w:tc>
          <w:tcPr>
            <w:tcW w:w="3969" w:type="dxa"/>
          </w:tcPr>
          <w:p w:rsidR="00694255" w:rsidRPr="007009BA" w:rsidRDefault="00173C16" w:rsidP="0069425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694255" w:rsidRPr="007009BA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220.00.00.00.000</w:t>
              </w:r>
            </w:hyperlink>
          </w:p>
        </w:tc>
      </w:tr>
    </w:tbl>
    <w:p w:rsidR="00694255" w:rsidRPr="007009BA" w:rsidRDefault="00694255" w:rsidP="0069425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94255" w:rsidRPr="007009BA" w:rsidRDefault="00694255" w:rsidP="0069425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9BA">
        <w:rPr>
          <w:rFonts w:ascii="Times New Roman" w:eastAsia="Times New Roman" w:hAnsi="Times New Roman"/>
          <w:sz w:val="24"/>
          <w:szCs w:val="24"/>
          <w:lang w:eastAsia="ru-RU"/>
        </w:rPr>
        <w:t>Действие не распространя</w:t>
      </w:r>
      <w:r w:rsidR="00114961" w:rsidRPr="007009BA">
        <w:rPr>
          <w:rFonts w:ascii="Times New Roman" w:eastAsia="Times New Roman" w:hAnsi="Times New Roman"/>
          <w:sz w:val="24"/>
          <w:szCs w:val="24"/>
          <w:lang w:eastAsia="ru-RU"/>
        </w:rPr>
        <w:t xml:space="preserve">ется на Объекты </w:t>
      </w:r>
      <w:r w:rsidR="00862AC1" w:rsidRPr="007009BA">
        <w:rPr>
          <w:rFonts w:ascii="Times New Roman" w:eastAsia="Times New Roman" w:hAnsi="Times New Roman"/>
          <w:sz w:val="24"/>
          <w:szCs w:val="24"/>
          <w:lang w:eastAsia="ru-RU"/>
        </w:rPr>
        <w:t>основных средств</w:t>
      </w:r>
      <w:r w:rsidRPr="007009BA">
        <w:rPr>
          <w:rFonts w:ascii="Times New Roman" w:eastAsia="Times New Roman" w:hAnsi="Times New Roman"/>
          <w:sz w:val="24"/>
          <w:szCs w:val="24"/>
          <w:lang w:eastAsia="ru-RU"/>
        </w:rPr>
        <w:t>, указанные в настоящем пункте, которые предназначены и (или) используются для оптовой и (или) розничной торговли.</w:t>
      </w:r>
    </w:p>
    <w:p w:rsidR="006B18EB" w:rsidRPr="007009BA" w:rsidRDefault="006B18EB" w:rsidP="006B18EB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09BA">
        <w:rPr>
          <w:rFonts w:ascii="Times New Roman" w:eastAsia="Times New Roman" w:hAnsi="Times New Roman"/>
          <w:sz w:val="24"/>
          <w:szCs w:val="24"/>
          <w:lang w:eastAsia="ru-RU"/>
        </w:rPr>
        <w:t>Налоговая льгота предоставляется Инвесторам, осуществляющим следующие основные виды экономической деятельности (в соответствии с Общероссийским классификатором видов экономической деятельности ОК 029-2</w:t>
      </w:r>
      <w:r w:rsidR="001F5491" w:rsidRPr="007009BA">
        <w:rPr>
          <w:rFonts w:ascii="Times New Roman" w:eastAsia="Times New Roman" w:hAnsi="Times New Roman"/>
          <w:sz w:val="24"/>
          <w:szCs w:val="24"/>
          <w:lang w:eastAsia="ru-RU"/>
        </w:rPr>
        <w:t>014 (КДЕС, ред. 2 (далее ОКВЭД)</w:t>
      </w:r>
    </w:p>
    <w:p w:rsidR="006B18EB" w:rsidRPr="007009BA" w:rsidRDefault="006B18EB" w:rsidP="006B18E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946"/>
        <w:gridCol w:w="1701"/>
      </w:tblGrid>
      <w:tr w:rsidR="007009BA" w:rsidRPr="007009BA" w:rsidTr="00971FB8">
        <w:tc>
          <w:tcPr>
            <w:tcW w:w="771" w:type="dxa"/>
          </w:tcPr>
          <w:p w:rsidR="006B18EB" w:rsidRPr="007009BA" w:rsidRDefault="006B18EB" w:rsidP="006D5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B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46" w:type="dxa"/>
          </w:tcPr>
          <w:p w:rsidR="006B18EB" w:rsidRPr="007009BA" w:rsidRDefault="006B18EB" w:rsidP="006D5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BA">
              <w:rPr>
                <w:rFonts w:ascii="Times New Roman" w:hAnsi="Times New Roman" w:cs="Times New Roman"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1701" w:type="dxa"/>
          </w:tcPr>
          <w:p w:rsidR="006B18EB" w:rsidRPr="007009BA" w:rsidRDefault="006B18EB" w:rsidP="006D5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BA">
              <w:rPr>
                <w:rFonts w:ascii="Times New Roman" w:hAnsi="Times New Roman" w:cs="Times New Roman"/>
                <w:sz w:val="24"/>
                <w:szCs w:val="24"/>
              </w:rPr>
              <w:t>Код ОКВЭД</w:t>
            </w:r>
          </w:p>
        </w:tc>
      </w:tr>
      <w:tr w:rsidR="007009BA" w:rsidRPr="007009BA" w:rsidTr="00971FB8">
        <w:tc>
          <w:tcPr>
            <w:tcW w:w="771" w:type="dxa"/>
          </w:tcPr>
          <w:p w:rsidR="006B18EB" w:rsidRPr="007009BA" w:rsidRDefault="006B18EB" w:rsidP="006D5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B18EB" w:rsidRPr="007009BA" w:rsidRDefault="00173C16" w:rsidP="006D5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B18EB" w:rsidRPr="007009BA">
                <w:rPr>
                  <w:rFonts w:ascii="Times New Roman" w:hAnsi="Times New Roman" w:cs="Times New Roman"/>
                  <w:sz w:val="24"/>
                  <w:szCs w:val="24"/>
                </w:rPr>
                <w:t>Раздел A</w:t>
              </w:r>
            </w:hyperlink>
            <w:r w:rsidR="006B18EB" w:rsidRPr="007009BA">
              <w:rPr>
                <w:rFonts w:ascii="Times New Roman" w:hAnsi="Times New Roman" w:cs="Times New Roman"/>
                <w:sz w:val="24"/>
                <w:szCs w:val="24"/>
              </w:rPr>
              <w:t xml:space="preserve"> "Сельское, лесное хозяйство, охота, рыболовство и рыбоводство"</w:t>
            </w:r>
          </w:p>
        </w:tc>
        <w:tc>
          <w:tcPr>
            <w:tcW w:w="1701" w:type="dxa"/>
          </w:tcPr>
          <w:p w:rsidR="006B18EB" w:rsidRPr="007009BA" w:rsidRDefault="006B18EB" w:rsidP="006D5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BA" w:rsidRPr="007009BA" w:rsidTr="00971FB8">
        <w:tc>
          <w:tcPr>
            <w:tcW w:w="771" w:type="dxa"/>
          </w:tcPr>
          <w:p w:rsidR="006B18EB" w:rsidRPr="007009BA" w:rsidRDefault="006B18EB" w:rsidP="006D5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B18EB" w:rsidRPr="007009BA" w:rsidRDefault="00173C16" w:rsidP="006D5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B18EB" w:rsidRPr="007009BA">
                <w:rPr>
                  <w:rFonts w:ascii="Times New Roman" w:hAnsi="Times New Roman" w:cs="Times New Roman"/>
                  <w:sz w:val="24"/>
                  <w:szCs w:val="24"/>
                </w:rPr>
                <w:t>Раздел C</w:t>
              </w:r>
            </w:hyperlink>
            <w:r w:rsidR="006B18EB" w:rsidRPr="007009BA">
              <w:rPr>
                <w:rFonts w:ascii="Times New Roman" w:hAnsi="Times New Roman" w:cs="Times New Roman"/>
                <w:sz w:val="24"/>
                <w:szCs w:val="24"/>
              </w:rPr>
              <w:t xml:space="preserve"> "Обрабатывающие производства"</w:t>
            </w:r>
          </w:p>
        </w:tc>
        <w:tc>
          <w:tcPr>
            <w:tcW w:w="1701" w:type="dxa"/>
          </w:tcPr>
          <w:p w:rsidR="006B18EB" w:rsidRPr="007009BA" w:rsidRDefault="006B18EB" w:rsidP="006D5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BA" w:rsidRPr="007009BA" w:rsidTr="00971FB8">
        <w:tc>
          <w:tcPr>
            <w:tcW w:w="771" w:type="dxa"/>
          </w:tcPr>
          <w:p w:rsidR="006B18EB" w:rsidRPr="007009BA" w:rsidRDefault="006B18EB" w:rsidP="006D5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B18EB" w:rsidRPr="007009BA" w:rsidRDefault="00173C16" w:rsidP="006D5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B18EB" w:rsidRPr="007009BA">
                <w:rPr>
                  <w:rFonts w:ascii="Times New Roman" w:hAnsi="Times New Roman" w:cs="Times New Roman"/>
                  <w:sz w:val="24"/>
                  <w:szCs w:val="24"/>
                </w:rPr>
                <w:t>Раздел H</w:t>
              </w:r>
            </w:hyperlink>
            <w:r w:rsidR="006B18EB" w:rsidRPr="007009BA">
              <w:rPr>
                <w:rFonts w:ascii="Times New Roman" w:hAnsi="Times New Roman" w:cs="Times New Roman"/>
                <w:sz w:val="24"/>
                <w:szCs w:val="24"/>
              </w:rPr>
              <w:t xml:space="preserve"> "Транспортировка и хранение"</w:t>
            </w:r>
          </w:p>
        </w:tc>
        <w:tc>
          <w:tcPr>
            <w:tcW w:w="1701" w:type="dxa"/>
          </w:tcPr>
          <w:p w:rsidR="006B18EB" w:rsidRPr="007009BA" w:rsidRDefault="006B18EB" w:rsidP="006D5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9BA" w:rsidRPr="007009BA" w:rsidTr="00BB2484">
        <w:trPr>
          <w:trHeight w:val="468"/>
        </w:trPr>
        <w:tc>
          <w:tcPr>
            <w:tcW w:w="771" w:type="dxa"/>
          </w:tcPr>
          <w:p w:rsidR="006B18EB" w:rsidRPr="007009BA" w:rsidRDefault="006B18EB" w:rsidP="006D5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6B18EB" w:rsidRPr="007009BA" w:rsidRDefault="006B18EB" w:rsidP="006D5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BA">
              <w:rPr>
                <w:rFonts w:ascii="Times New Roman" w:hAnsi="Times New Roman" w:cs="Times New Roman"/>
                <w:sz w:val="24"/>
                <w:szCs w:val="24"/>
              </w:rPr>
              <w:t>Деятельность по предоставлению мест для временного проживания</w:t>
            </w:r>
          </w:p>
        </w:tc>
        <w:tc>
          <w:tcPr>
            <w:tcW w:w="1701" w:type="dxa"/>
          </w:tcPr>
          <w:p w:rsidR="006B18EB" w:rsidRPr="007009BA" w:rsidRDefault="00173C16" w:rsidP="006D5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B18EB" w:rsidRPr="007009BA">
                <w:rPr>
                  <w:rFonts w:ascii="Times New Roman" w:hAnsi="Times New Roman" w:cs="Times New Roman"/>
                  <w:sz w:val="24"/>
                  <w:szCs w:val="24"/>
                </w:rPr>
                <w:t>55</w:t>
              </w:r>
            </w:hyperlink>
          </w:p>
        </w:tc>
      </w:tr>
      <w:tr w:rsidR="007009BA" w:rsidRPr="007009BA" w:rsidTr="00BB2484">
        <w:trPr>
          <w:trHeight w:val="551"/>
        </w:trPr>
        <w:tc>
          <w:tcPr>
            <w:tcW w:w="771" w:type="dxa"/>
          </w:tcPr>
          <w:p w:rsidR="006B18EB" w:rsidRPr="007009BA" w:rsidRDefault="006B18EB" w:rsidP="006D5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6B18EB" w:rsidRPr="007009BA" w:rsidRDefault="006B18EB" w:rsidP="006D5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BA">
              <w:rPr>
                <w:rFonts w:ascii="Times New Roman" w:hAnsi="Times New Roman" w:cs="Times New Roman"/>
                <w:sz w:val="24"/>
                <w:szCs w:val="24"/>
              </w:rPr>
              <w:t>Аренда и управление собственным или арендованным нежилым недвижимым имуществом</w:t>
            </w:r>
          </w:p>
        </w:tc>
        <w:tc>
          <w:tcPr>
            <w:tcW w:w="1701" w:type="dxa"/>
          </w:tcPr>
          <w:p w:rsidR="006B18EB" w:rsidRPr="007009BA" w:rsidRDefault="006B18EB" w:rsidP="006D5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BA">
              <w:rPr>
                <w:rFonts w:ascii="Times New Roman" w:hAnsi="Times New Roman" w:cs="Times New Roman"/>
                <w:sz w:val="24"/>
                <w:szCs w:val="24"/>
              </w:rPr>
              <w:t>68.20.2</w:t>
            </w:r>
          </w:p>
        </w:tc>
      </w:tr>
      <w:tr w:rsidR="007009BA" w:rsidRPr="007009BA" w:rsidTr="00971FB8">
        <w:tc>
          <w:tcPr>
            <w:tcW w:w="771" w:type="dxa"/>
          </w:tcPr>
          <w:p w:rsidR="006B18EB" w:rsidRPr="007009BA" w:rsidRDefault="006B18EB" w:rsidP="006D5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6B18EB" w:rsidRPr="007009BA" w:rsidRDefault="006B18EB" w:rsidP="006D5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BA">
              <w:rPr>
                <w:rFonts w:ascii="Times New Roman" w:hAnsi="Times New Roman" w:cs="Times New Roman"/>
                <w:sz w:val="24"/>
                <w:szCs w:val="24"/>
              </w:rPr>
              <w:t>Управление эксплуатацией нежилого фонда за вознаграждение или на договорной основе</w:t>
            </w:r>
          </w:p>
        </w:tc>
        <w:tc>
          <w:tcPr>
            <w:tcW w:w="1701" w:type="dxa"/>
          </w:tcPr>
          <w:p w:rsidR="006B18EB" w:rsidRPr="007009BA" w:rsidRDefault="006B18EB" w:rsidP="006D5E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9BA">
              <w:rPr>
                <w:rFonts w:ascii="Times New Roman" w:hAnsi="Times New Roman" w:cs="Times New Roman"/>
                <w:sz w:val="24"/>
                <w:szCs w:val="24"/>
              </w:rPr>
              <w:t>68.32.2</w:t>
            </w:r>
          </w:p>
        </w:tc>
      </w:tr>
    </w:tbl>
    <w:p w:rsidR="000828EF" w:rsidRPr="005C0C42" w:rsidRDefault="00110C12" w:rsidP="0069425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>Налоговая льгота предоставляется инвесторам в отношении зе</w:t>
      </w:r>
      <w:r w:rsidR="00CD45AF">
        <w:rPr>
          <w:rFonts w:ascii="Times New Roman" w:eastAsia="Times New Roman" w:hAnsi="Times New Roman"/>
          <w:sz w:val="24"/>
          <w:szCs w:val="24"/>
          <w:lang w:eastAsia="ru-RU"/>
        </w:rPr>
        <w:t>мельного участка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новое строит</w:t>
      </w:r>
      <w:r w:rsidR="00114961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ельство объекта </w:t>
      </w:r>
      <w:r w:rsidR="001F5491" w:rsidRPr="005C0C42">
        <w:rPr>
          <w:rFonts w:ascii="Times New Roman" w:eastAsia="Times New Roman" w:hAnsi="Times New Roman"/>
          <w:sz w:val="24"/>
          <w:szCs w:val="24"/>
          <w:lang w:eastAsia="ru-RU"/>
        </w:rPr>
        <w:t>основных средств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 Талдомского городского 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округа Московской области, принятого на бухгал</w:t>
      </w:r>
      <w:r w:rsidR="00114961" w:rsidRPr="005C0C42">
        <w:rPr>
          <w:rFonts w:ascii="Times New Roman" w:eastAsia="Times New Roman" w:hAnsi="Times New Roman"/>
          <w:sz w:val="24"/>
          <w:szCs w:val="24"/>
          <w:lang w:eastAsia="ru-RU"/>
        </w:rPr>
        <w:t>терский учет после 1 января 2022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применяется</w:t>
      </w:r>
      <w:r w:rsidR="00AA155D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с месяца, следующего за месяцем постановки на учет такого объекта недвижимости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двух</w:t>
      </w:r>
      <w:r w:rsidR="000828EF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последовательных налоговых периодов, начиная с налогового периода, следующего за налоговым периодом, в котором впервые введен в эксп</w:t>
      </w:r>
      <w:r w:rsidR="00114961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луатацию объект </w:t>
      </w:r>
      <w:r w:rsidR="001F5491" w:rsidRPr="005C0C42">
        <w:rPr>
          <w:rFonts w:ascii="Times New Roman" w:eastAsia="Times New Roman" w:hAnsi="Times New Roman"/>
          <w:sz w:val="24"/>
          <w:szCs w:val="24"/>
          <w:lang w:eastAsia="ru-RU"/>
        </w:rPr>
        <w:t>основных средств</w:t>
      </w:r>
      <w:r w:rsidR="000828EF" w:rsidRPr="005C0C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94255" w:rsidRPr="005C0C42" w:rsidRDefault="00694255" w:rsidP="0069425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>Дополнительным критерием предоставления налоговой льготы является условие, что с</w:t>
      </w:r>
      <w:r w:rsidR="00A14DEB" w:rsidRPr="005C0C42">
        <w:rPr>
          <w:rFonts w:ascii="Times New Roman" w:eastAsia="Times New Roman" w:hAnsi="Times New Roman"/>
          <w:sz w:val="24"/>
          <w:szCs w:val="24"/>
          <w:lang w:eastAsia="ru-RU"/>
        </w:rPr>
        <w:t>оздание о</w:t>
      </w:r>
      <w:r w:rsidR="00114961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бъекта </w:t>
      </w:r>
      <w:r w:rsidR="001F5491" w:rsidRPr="005C0C42">
        <w:rPr>
          <w:rFonts w:ascii="Times New Roman" w:eastAsia="Times New Roman" w:hAnsi="Times New Roman"/>
          <w:sz w:val="24"/>
          <w:szCs w:val="24"/>
          <w:lang w:eastAsia="ru-RU"/>
        </w:rPr>
        <w:t>основных средств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повлекло увеличение среднесписочной численности работников Инвестора, осуществляющего деятельность на территории</w:t>
      </w:r>
      <w:r w:rsidR="002850C0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Талдомского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</w:t>
      </w:r>
      <w:r w:rsidR="002850C0" w:rsidRPr="005C0C42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области, более чем на 50 единиц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94255" w:rsidRPr="005C0C42" w:rsidRDefault="00694255" w:rsidP="0069425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>В случае прекращения у Инвестора в течение одного года после ввода в эксплуатацию права собств</w:t>
      </w:r>
      <w:r w:rsidR="00114961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енности объекта </w:t>
      </w:r>
      <w:r w:rsidR="001F5491" w:rsidRPr="005C0C42">
        <w:rPr>
          <w:rFonts w:ascii="Times New Roman" w:eastAsia="Times New Roman" w:hAnsi="Times New Roman"/>
          <w:sz w:val="24"/>
          <w:szCs w:val="24"/>
          <w:lang w:eastAsia="ru-RU"/>
        </w:rPr>
        <w:t>основных средств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стоимостью не менее пятидесяти миллионов рублей</w:t>
      </w:r>
      <w:r w:rsidR="00CD45A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Инвестор не вправе применять налоговые льготы на земельный участок, на котором ра</w:t>
      </w:r>
      <w:r w:rsidR="00114961" w:rsidRPr="005C0C42">
        <w:rPr>
          <w:rFonts w:ascii="Times New Roman" w:eastAsia="Times New Roman" w:hAnsi="Times New Roman"/>
          <w:sz w:val="24"/>
          <w:szCs w:val="24"/>
          <w:lang w:eastAsia="ru-RU"/>
        </w:rPr>
        <w:t>сположен объект недвижимости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стоимостью не менее пятидесяти миллионов рублей, право собственности на который прекращен.</w:t>
      </w:r>
      <w:r w:rsidR="0094103A" w:rsidRPr="005C0C42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71FB8" w:rsidRPr="005C0C42" w:rsidRDefault="00971FB8" w:rsidP="00971F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71FB8" w:rsidRPr="005C0C42" w:rsidRDefault="00971FB8" w:rsidP="00971F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C0C42">
        <w:rPr>
          <w:rFonts w:ascii="Times New Roman" w:hAnsi="Times New Roman"/>
          <w:sz w:val="24"/>
          <w:szCs w:val="24"/>
        </w:rPr>
        <w:t>1.2. Пункт 4 дополнить подпунктом 4.5</w:t>
      </w:r>
      <w:r w:rsidR="00BB2484" w:rsidRPr="005C0C42">
        <w:rPr>
          <w:rFonts w:ascii="Times New Roman" w:hAnsi="Times New Roman"/>
          <w:sz w:val="24"/>
          <w:szCs w:val="24"/>
        </w:rPr>
        <w:t>:</w:t>
      </w:r>
    </w:p>
    <w:p w:rsidR="00BB2484" w:rsidRPr="005C0C42" w:rsidRDefault="00BB2484" w:rsidP="00971FB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2484" w:rsidRPr="005C0C42" w:rsidRDefault="00BB2484" w:rsidP="00BC4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>«4.5.</w:t>
      </w:r>
      <w:r w:rsidR="00BC43B4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Освободить от уплаты земельного налога на 50%:</w:t>
      </w:r>
    </w:p>
    <w:p w:rsidR="00DC69F3" w:rsidRPr="005C0C42" w:rsidRDefault="00DC69F3" w:rsidP="00BC4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18C3" w:rsidRPr="005C0C42" w:rsidRDefault="00BC43B4" w:rsidP="00BC43B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>4.5.1. российские организации, которые осуществляют</w:t>
      </w:r>
      <w:r w:rsidR="00190F76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 в области информацио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>нных технологий, разрабатывают и реализуют</w:t>
      </w:r>
      <w:r w:rsidR="00190F76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разработанные ими программы для ЭВМ, базы данных на материальн</w:t>
      </w:r>
      <w:r w:rsidR="003A7928" w:rsidRPr="005C0C42">
        <w:rPr>
          <w:rFonts w:ascii="Times New Roman" w:eastAsia="Times New Roman" w:hAnsi="Times New Roman"/>
          <w:sz w:val="24"/>
          <w:szCs w:val="24"/>
          <w:lang w:eastAsia="ru-RU"/>
        </w:rPr>
        <w:t>ом носителе или в форме электронного документа по каналам связи независимо от вида договора и (или)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оказывают услуги (выполняют</w:t>
      </w:r>
      <w:r w:rsidR="003A7928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работы) по разработке, адаптации, модификации программ для ЭВМ, баз данных (программных средств и информационных пр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>одуктов вычислительной техники),  устанавливают, тестируют</w:t>
      </w:r>
      <w:r w:rsidR="003A7928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>сопровождают</w:t>
      </w:r>
      <w:r w:rsidR="003A7928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 для ЭВМ, базы данных.</w:t>
      </w:r>
    </w:p>
    <w:p w:rsidR="003A7928" w:rsidRPr="005C0C42" w:rsidRDefault="00BC43B4" w:rsidP="0069425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>4.5.2.</w:t>
      </w:r>
      <w:r w:rsidR="003A7928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Налоговая льгота </w:t>
      </w:r>
      <w:r w:rsidR="00173C16" w:rsidRPr="005C0C42">
        <w:rPr>
          <w:rFonts w:ascii="Times New Roman" w:eastAsia="Times New Roman" w:hAnsi="Times New Roman"/>
          <w:sz w:val="24"/>
          <w:szCs w:val="24"/>
          <w:lang w:eastAsia="ru-RU"/>
        </w:rPr>
        <w:t>предоставляется при</w:t>
      </w:r>
      <w:r w:rsidR="003A7928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условии соответствия орг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>анизаций, указанных в подпункте 4.5.1</w:t>
      </w:r>
      <w:r w:rsidR="003A7928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условиям, </w:t>
      </w:r>
      <w:r w:rsidR="00CD45AF">
        <w:rPr>
          <w:rFonts w:ascii="Times New Roman" w:eastAsia="Times New Roman" w:hAnsi="Times New Roman"/>
          <w:sz w:val="24"/>
          <w:szCs w:val="24"/>
          <w:lang w:eastAsia="ru-RU"/>
        </w:rPr>
        <w:t>установленным абзацами третьим,</w:t>
      </w:r>
      <w:r w:rsidR="003A7928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четвертым</w:t>
      </w:r>
      <w:r w:rsidR="00CD45AF">
        <w:rPr>
          <w:rFonts w:ascii="Times New Roman" w:eastAsia="Times New Roman" w:hAnsi="Times New Roman"/>
          <w:sz w:val="24"/>
          <w:szCs w:val="24"/>
          <w:lang w:eastAsia="ru-RU"/>
        </w:rPr>
        <w:t>, шестым, седьмым</w:t>
      </w:r>
      <w:r w:rsidR="003A7928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1.15 статьи 284 Налогового кодекса Российской Федерации</w:t>
      </w:r>
      <w:r w:rsidR="001603C8" w:rsidRPr="005C0C4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CD45AF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94103A" w:rsidRPr="005C0C42" w:rsidRDefault="003D7F76" w:rsidP="0069425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694255" w:rsidRPr="005C0C42">
        <w:rPr>
          <w:rFonts w:ascii="Times New Roman" w:eastAsia="Times New Roman" w:hAnsi="Times New Roman"/>
          <w:sz w:val="24"/>
          <w:szCs w:val="24"/>
          <w:lang w:eastAsia="ru-RU"/>
        </w:rPr>
        <w:t>. Настоящее решение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вступает в силу</w:t>
      </w:r>
      <w:r w:rsidR="000D1F02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со дня его официального опубликования, распространяется на правоотношения, возникшие  </w:t>
      </w:r>
      <w:r w:rsidR="0094103A" w:rsidRPr="005C0C42">
        <w:rPr>
          <w:rFonts w:ascii="Times New Roman" w:eastAsia="Times New Roman" w:hAnsi="Times New Roman"/>
          <w:sz w:val="24"/>
          <w:szCs w:val="24"/>
          <w:lang w:eastAsia="ru-RU"/>
        </w:rPr>
        <w:t>с 1 января 2022 года.</w:t>
      </w:r>
    </w:p>
    <w:p w:rsidR="00694255" w:rsidRPr="005C0C42" w:rsidRDefault="0094103A" w:rsidP="00694255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="003D7F76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Налоговые льготы, установленные </w:t>
      </w:r>
      <w:r w:rsidR="00173C16" w:rsidRPr="005C0C42">
        <w:rPr>
          <w:rFonts w:ascii="Times New Roman" w:eastAsia="Times New Roman" w:hAnsi="Times New Roman"/>
          <w:sz w:val="24"/>
          <w:szCs w:val="24"/>
          <w:lang w:eastAsia="ru-RU"/>
        </w:rPr>
        <w:t>подпунктом 4.5</w:t>
      </w:r>
      <w:r w:rsidR="003D7F76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0C42">
        <w:rPr>
          <w:rFonts w:ascii="Times New Roman" w:eastAsia="Times New Roman" w:hAnsi="Times New Roman"/>
          <w:sz w:val="24"/>
          <w:szCs w:val="24"/>
          <w:lang w:eastAsia="ru-RU"/>
        </w:rPr>
        <w:t>применяются</w:t>
      </w:r>
      <w:r w:rsidR="000D1F02" w:rsidRPr="005C0C42">
        <w:rPr>
          <w:rFonts w:ascii="Times New Roman" w:eastAsia="Times New Roman" w:hAnsi="Times New Roman"/>
          <w:sz w:val="24"/>
          <w:szCs w:val="24"/>
          <w:lang w:eastAsia="ru-RU"/>
        </w:rPr>
        <w:t xml:space="preserve"> до 1 января 2025 года.</w:t>
      </w:r>
    </w:p>
    <w:p w:rsidR="00DD5FFC" w:rsidRPr="005C0C42" w:rsidRDefault="0094103A" w:rsidP="003D7F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0C42">
        <w:rPr>
          <w:rFonts w:ascii="Times New Roman" w:hAnsi="Times New Roman"/>
          <w:sz w:val="24"/>
          <w:szCs w:val="24"/>
        </w:rPr>
        <w:t>4</w:t>
      </w:r>
      <w:r w:rsidR="00DD5FFC" w:rsidRPr="005C0C42">
        <w:rPr>
          <w:rFonts w:ascii="Times New Roman" w:hAnsi="Times New Roman"/>
          <w:sz w:val="24"/>
          <w:szCs w:val="24"/>
        </w:rPr>
        <w:t>. Опубликовать настоящее решение в газете «Заря» и разместить на официальном интернет-сайте администрации Талдомского городского округа.</w:t>
      </w:r>
    </w:p>
    <w:p w:rsidR="00DD5FFC" w:rsidRDefault="00DD5FFC" w:rsidP="00DD5F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73C16" w:rsidRPr="005C0C42" w:rsidRDefault="00173C16" w:rsidP="00DD5FF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D5FFC" w:rsidRPr="005C0C42" w:rsidRDefault="00DD5FFC" w:rsidP="007009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0C42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DD5FFC" w:rsidRPr="005C0C42" w:rsidRDefault="00DD5FFC" w:rsidP="007009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0C42">
        <w:rPr>
          <w:rFonts w:ascii="Times New Roman" w:hAnsi="Times New Roman"/>
          <w:sz w:val="24"/>
          <w:szCs w:val="24"/>
        </w:rPr>
        <w:t>Талдомского городского округа                                                             М.И.</w:t>
      </w:r>
      <w:r w:rsidR="007009BA">
        <w:rPr>
          <w:rFonts w:ascii="Times New Roman" w:hAnsi="Times New Roman"/>
          <w:sz w:val="24"/>
          <w:szCs w:val="24"/>
        </w:rPr>
        <w:t xml:space="preserve"> </w:t>
      </w:r>
      <w:r w:rsidRPr="005C0C42">
        <w:rPr>
          <w:rFonts w:ascii="Times New Roman" w:hAnsi="Times New Roman"/>
          <w:sz w:val="24"/>
          <w:szCs w:val="24"/>
        </w:rPr>
        <w:t>Аникеев</w:t>
      </w:r>
    </w:p>
    <w:p w:rsidR="00DD5FFC" w:rsidRDefault="00DD5FFC" w:rsidP="007009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5380F" w:rsidRDefault="00DD5FFC" w:rsidP="007009B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0C42">
        <w:rPr>
          <w:rFonts w:ascii="Times New Roman" w:hAnsi="Times New Roman"/>
          <w:sz w:val="24"/>
          <w:szCs w:val="24"/>
        </w:rPr>
        <w:t>Глава Талдомского городского округа                                                   Ю.В.</w:t>
      </w:r>
      <w:r w:rsidR="007009BA">
        <w:rPr>
          <w:rFonts w:ascii="Times New Roman" w:hAnsi="Times New Roman"/>
          <w:sz w:val="24"/>
          <w:szCs w:val="24"/>
        </w:rPr>
        <w:t xml:space="preserve"> </w:t>
      </w:r>
      <w:r w:rsidRPr="005C0C42">
        <w:rPr>
          <w:rFonts w:ascii="Times New Roman" w:hAnsi="Times New Roman"/>
          <w:sz w:val="24"/>
          <w:szCs w:val="24"/>
        </w:rPr>
        <w:t>Крупенин</w:t>
      </w:r>
    </w:p>
    <w:p w:rsidR="007009BA" w:rsidRDefault="007009BA" w:rsidP="007009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1E77" w:rsidRDefault="007C1E77" w:rsidP="007C1E77">
      <w:pPr>
        <w:spacing w:line="256" w:lineRule="auto"/>
        <w:rPr>
          <w:sz w:val="16"/>
          <w:szCs w:val="16"/>
        </w:rPr>
      </w:pPr>
    </w:p>
    <w:p w:rsidR="007C1E77" w:rsidRDefault="007C1E77" w:rsidP="007C1E7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7C1E77" w:rsidSect="007C1E7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FC"/>
    <w:rsid w:val="000828EF"/>
    <w:rsid w:val="000C307D"/>
    <w:rsid w:val="000D1F02"/>
    <w:rsid w:val="00110C12"/>
    <w:rsid w:val="00114961"/>
    <w:rsid w:val="001603C8"/>
    <w:rsid w:val="00173C16"/>
    <w:rsid w:val="00187B67"/>
    <w:rsid w:val="00190F76"/>
    <w:rsid w:val="001B7EFE"/>
    <w:rsid w:val="001F03B5"/>
    <w:rsid w:val="001F5491"/>
    <w:rsid w:val="002850C0"/>
    <w:rsid w:val="003611C9"/>
    <w:rsid w:val="003A7928"/>
    <w:rsid w:val="003B34B0"/>
    <w:rsid w:val="003D7F76"/>
    <w:rsid w:val="0046229E"/>
    <w:rsid w:val="004A1604"/>
    <w:rsid w:val="0052691D"/>
    <w:rsid w:val="005C0C42"/>
    <w:rsid w:val="005C2634"/>
    <w:rsid w:val="00656753"/>
    <w:rsid w:val="00694255"/>
    <w:rsid w:val="006B18EB"/>
    <w:rsid w:val="006B6AC1"/>
    <w:rsid w:val="007009BA"/>
    <w:rsid w:val="0078163C"/>
    <w:rsid w:val="007C1E77"/>
    <w:rsid w:val="00862AC1"/>
    <w:rsid w:val="0094103A"/>
    <w:rsid w:val="00971FB8"/>
    <w:rsid w:val="00A14DEB"/>
    <w:rsid w:val="00AA155D"/>
    <w:rsid w:val="00BA2901"/>
    <w:rsid w:val="00BA4A58"/>
    <w:rsid w:val="00BB2484"/>
    <w:rsid w:val="00BC43B4"/>
    <w:rsid w:val="00C25E24"/>
    <w:rsid w:val="00C5380F"/>
    <w:rsid w:val="00CD45AF"/>
    <w:rsid w:val="00CF7DD6"/>
    <w:rsid w:val="00D30904"/>
    <w:rsid w:val="00D718C3"/>
    <w:rsid w:val="00DC69F3"/>
    <w:rsid w:val="00DD157E"/>
    <w:rsid w:val="00DD5FFC"/>
    <w:rsid w:val="00E81240"/>
    <w:rsid w:val="00EC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921C3-03A1-4C1C-86DA-0C3CE907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037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694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42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A2B5F0E630774F7F3EE84764310F19FC75EB943C2300FE74B61D19A83CBA5F7BFAAB8616269A6994A8F0AB98A834041710F3109D14988BA7rF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A2B5F0E630774F7F3EE84764310F19FC74E9913F2A00FE74B61D19A83CBA5F7BFAAB8616269F6B97A8F0AB98A834041710F3109D14988BA7rF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A2B5F0E630774F7F3EE84764310F19FC74E9913F2A00FE74B61D19A83CBA5F7BFAAB861626996C97A8F0AB98A834041710F3109D14988BA7rFG" TargetMode="External"/><Relationship Id="rId11" Type="http://schemas.openxmlformats.org/officeDocument/2006/relationships/hyperlink" Target="consultantplus://offline/ref=C6A2B5F0E630774F7F3EE84764310F19FC75EB943C2300FE74B61D19A83CBA5F7BFAAB861622986A90A8F0AB98A834041710F3109D14988BA7rFG" TargetMode="External"/><Relationship Id="rId5" Type="http://schemas.openxmlformats.org/officeDocument/2006/relationships/hyperlink" Target="consultantplus://offline/ref=C6A2B5F0E630774F7F3EE84764310F19FC74E9913F2A00FE74B61D19A83CBA5F69FAF38A1423856A93BDA6FADEAFrFG" TargetMode="External"/><Relationship Id="rId10" Type="http://schemas.openxmlformats.org/officeDocument/2006/relationships/hyperlink" Target="consultantplus://offline/ref=C6A2B5F0E630774F7F3EE84764310F19FC75EB943C2300FE74B61D19A83CBA5F7BFAAB861625926B93A8F0AB98A834041710F3109D14988BA7rF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6A2B5F0E630774F7F3EE84764310F19FC75EB943C2300FE74B61D19A83CBA5F7BFAAB8616269C6B96A8F0AB98A834041710F3109D14988BA7r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1209</Words>
  <Characters>6895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BELIAKOVANA</dc:creator>
  <cp:lastModifiedBy>1</cp:lastModifiedBy>
  <cp:revision>5</cp:revision>
  <cp:lastPrinted>2022-10-28T06:37:00Z</cp:lastPrinted>
  <dcterms:created xsi:type="dcterms:W3CDTF">2022-10-24T11:20:00Z</dcterms:created>
  <dcterms:modified xsi:type="dcterms:W3CDTF">2022-11-07T13:50:00Z</dcterms:modified>
</cp:coreProperties>
</file>